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全</w:t>
      </w:r>
      <w:r>
        <w:rPr>
          <w:rFonts w:hint="eastAsia" w:eastAsia="方正小标宋简体" w:cs="Times New Roman"/>
          <w:bCs/>
          <w:sz w:val="36"/>
          <w:szCs w:val="36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脱钩</w:t>
      </w:r>
      <w:r>
        <w:rPr>
          <w:rFonts w:hint="eastAsia" w:eastAsia="方正小标宋简体" w:cs="Times New Roman"/>
          <w:bCs/>
          <w:sz w:val="36"/>
          <w:szCs w:val="36"/>
          <w:lang w:eastAsia="zh-CN"/>
        </w:rPr>
        <w:t>单位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完成情况表</w:t>
      </w:r>
    </w:p>
    <w:p>
      <w:pPr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</w:rPr>
        <w:t>(参加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eastAsia="zh-CN"/>
        </w:rPr>
        <w:t>脱钩的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>全</w:t>
      </w:r>
      <w:r>
        <w:rPr>
          <w:rFonts w:hint="eastAsia" w:eastAsia="楷体_GB2312" w:cs="Times New Roman"/>
          <w:bCs/>
          <w:sz w:val="28"/>
          <w:szCs w:val="28"/>
          <w:lang w:eastAsia="zh-CN"/>
        </w:rPr>
        <w:t>市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>性行业协会商会填写、业务主管单位审核）</w:t>
      </w:r>
    </w:p>
    <w:p>
      <w:pPr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</w:p>
    <w:p>
      <w:pPr>
        <w:ind w:left="-617" w:leftChars="-294" w:firstLine="618" w:firstLineChars="22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宋体" w:cs="Times New Roman"/>
          <w:bCs/>
          <w:sz w:val="28"/>
          <w:szCs w:val="28"/>
        </w:rPr>
        <w:t>填表人：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</w:p>
    <w:p>
      <w:pPr>
        <w:ind w:left="-619" w:leftChars="-2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宋体" w:cs="Times New Roman"/>
          <w:bCs/>
          <w:sz w:val="28"/>
          <w:szCs w:val="28"/>
        </w:rPr>
        <w:t>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宋体" w:cs="Times New Roman"/>
          <w:bCs/>
          <w:sz w:val="28"/>
          <w:szCs w:val="28"/>
        </w:rPr>
        <w:t>话：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宋体" w:cs="Times New Roman"/>
          <w:bCs/>
          <w:sz w:val="28"/>
          <w:szCs w:val="28"/>
        </w:rPr>
        <w:t>手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宋体" w:cs="Times New Roman"/>
          <w:bCs/>
          <w:sz w:val="28"/>
          <w:szCs w:val="28"/>
        </w:rPr>
        <w:t>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业务主管单位（盖章）：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宋体" w:cs="Times New Roman"/>
          <w:bCs/>
          <w:sz w:val="28"/>
          <w:szCs w:val="28"/>
        </w:rPr>
        <w:t>联系人：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</w:p>
    <w:p>
      <w:pPr>
        <w:ind w:left="-619" w:leftChars="-2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宋体" w:cs="Times New Roman"/>
          <w:bCs/>
          <w:sz w:val="28"/>
          <w:szCs w:val="28"/>
        </w:rPr>
        <w:t>电话：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宋体" w:cs="Times New Roman"/>
          <w:bCs/>
          <w:sz w:val="28"/>
          <w:szCs w:val="28"/>
        </w:rPr>
        <w:t>手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宋体" w:cs="Times New Roman"/>
          <w:bCs/>
          <w:sz w:val="28"/>
          <w:szCs w:val="28"/>
        </w:rPr>
        <w:t>机：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（一）基本信息情况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880"/>
        <w:gridCol w:w="1590"/>
        <w:gridCol w:w="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名  称    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理事长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秘书长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住所地址</w:t>
            </w:r>
          </w:p>
        </w:tc>
        <w:tc>
          <w:tcPr>
            <w:tcW w:w="8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left"/>
        <w:rPr>
          <w:rFonts w:ascii="Times New Roman" w:hAnsi="宋体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（二）机构分离情况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4305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代管事业单位的脱钩情况</w:t>
            </w: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□并入行业协会商会，核销事业编制（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□划转（           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暂不分离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与其他行业协会商会、社会组织代管协管挂靠关系的脱钩情况</w:t>
            </w: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□按自愿互惠原则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保留不变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进行调整，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调整后情况填一下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并纳入章程予以规范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□未完成脱钩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与行政机关或者事业单位合署办公的脱钩情况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□机构分离情况：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□人员分离情况：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□资产分离情况：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□未完成脱钩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2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与其他行政机关或参公管理单位的联系挂靠关系取消情况</w:t>
            </w:r>
          </w:p>
        </w:tc>
        <w:tc>
          <w:tcPr>
            <w:tcW w:w="7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涉及联系挂靠单位的脱钩事项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（三）职能分离情况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7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法律法规规定情形之外行业协会商会行使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行政机关法定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行政职能的脱钩情况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□已移交有关部门（   ）项，分别为：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□未完成移交（   ）项，分别为：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脱钩后有关部门向行业协会商会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委托或者购买服务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事项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委托或者购买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（    ）项事项，具体清单目录为：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（四）资产财务分离情况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50"/>
        <w:gridCol w:w="2085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脱钩后执行会计制度情况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□《民间非营利组织会计制度》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□其他会计制度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脱钩后单独开立银行账户情况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□单独开立账户，开户行、开户名称及账号为：（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□未单独开立账户，与何单位共用（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脱钩后单独建账、独立核算情况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□已单独建账、独立核算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□未单独建账、独立核算，账务挂靠在何单位（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脱钩后财政预算资金处理方式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□预算资金额度（  ）万元，具体处理方式（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脱钩后承接政府购买服务情况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□未承接政府购买服务事项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□承接政府购买服务事项（   ）项，资金（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使用行政办公用房脱钩情况</w:t>
            </w: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□符合核定面积（     ）</w:t>
            </w:r>
            <w:r>
              <w:rPr>
                <w:rFonts w:ascii="Times New Roman" w:hAnsi="Arial" w:eastAsia="仿宋_GB2312" w:cs="Times New Roman"/>
                <w:bCs/>
                <w:sz w:val="24"/>
              </w:rPr>
              <w:t>㎡，脱钩后具体处理方式（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</w:t>
            </w:r>
            <w:r>
              <w:rPr>
                <w:rFonts w:ascii="Times New Roman" w:hAnsi="Arial" w:eastAsia="仿宋_GB2312" w:cs="Times New Roman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</w:t>
            </w:r>
            <w:r>
              <w:rPr>
                <w:rFonts w:ascii="Times New Roman" w:hAnsi="Arial" w:eastAsia="仿宋_GB2312" w:cs="Times New Roman"/>
                <w:bCs/>
                <w:sz w:val="24"/>
              </w:rPr>
              <w:t>清理腾退超出核定面积（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</w:t>
            </w:r>
            <w:r>
              <w:rPr>
                <w:rFonts w:ascii="Times New Roman" w:hAnsi="Arial" w:eastAsia="仿宋_GB2312" w:cs="Times New Roman"/>
                <w:bCs/>
                <w:sz w:val="24"/>
              </w:rPr>
              <w:t>）㎡，签订书面移交协议（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□是□否</w:t>
            </w:r>
            <w:r>
              <w:rPr>
                <w:rFonts w:ascii="Times New Roman" w:hAnsi="Arial" w:eastAsia="仿宋_GB2312" w:cs="Times New Roman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2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脱钩后固定资产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国有（  ）万元</w:t>
            </w:r>
          </w:p>
        </w:tc>
        <w:tc>
          <w:tcPr>
            <w:tcW w:w="20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脱钩后流动资产</w:t>
            </w:r>
          </w:p>
        </w:tc>
        <w:tc>
          <w:tcPr>
            <w:tcW w:w="3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国有（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其他（  ）万元</w:t>
            </w: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其他（  ）万元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（五）人员管理分离情况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677"/>
        <w:gridCol w:w="583"/>
        <w:gridCol w:w="2882"/>
        <w:gridCol w:w="179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工作人员数</w:t>
            </w: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专职人员（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）人，其中事业编制人数（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现职和不担任现职但未办理退（离）休手续</w:t>
            </w:r>
            <w: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  <w:t>的公务员在行业协会商会兼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职任职的脱钩情况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9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脱钩后退出行业协会商会工作（  ）人次，其中党和国家领导人（ ）人次、省部级（  ）人次、地厅级（  ）人次</w:t>
            </w: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、县处级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（  ）人次，其他（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9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脱钩后留在行业协会商会工作，退出公务员管理（ ）人次，其中党和国家领导人（ ）人次、省部级（  ）人次、地厅级（  ）人次</w:t>
            </w: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、县处级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（  ）人次，其他（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退（离）休领导干部在行业协会商会兼职的脱钩情况</w:t>
            </w: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脱钩后退出兼任职（  ）人次，其中党和国家领导人（ ）人次、省部级（  ）人次、地厅级（  ）人次，其他（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9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脱钩后，继续兼任职（  ）人次，其中党和国家领导人（ ）人次、省部级（  ）人次、地厅级（  ）人次，其他（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事业编制脱钩情况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9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□脱钩后核销事业编制（  ）个，保留事业编制（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现职和不担任现职但未办理退（离）休手续的公务员情况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兼任行业协会商会职务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单 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 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退（离）休领导干部情况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兼任行业协会商会职务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原单位和职务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退（离）休时间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（六）党建分离情况</w:t>
      </w:r>
    </w:p>
    <w:tbl>
      <w:tblPr>
        <w:tblStyle w:val="3"/>
        <w:tblW w:w="1000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661"/>
        <w:gridCol w:w="2923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党组织建立情况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党员人数</w:t>
            </w:r>
          </w:p>
        </w:tc>
        <w:tc>
          <w:tcPr>
            <w:tcW w:w="5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党的关系归口管理部门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□党委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□党总支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□党支部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□临时党组织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□联合党支部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□未建立党组织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（七）外事分离情况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外事审批权脱钩情况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□不涉及此事项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□取消外事审批权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目前仍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保留外事审批权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脱钩前外事管理机关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脱钩后外事管理机关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color w:val="0000FF"/>
          <w:sz w:val="24"/>
        </w:rPr>
      </w:pPr>
      <w:r>
        <w:rPr>
          <w:rFonts w:ascii="Times New Roman" w:hAnsi="宋体" w:cs="Times New Roman"/>
          <w:b/>
          <w:sz w:val="28"/>
          <w:szCs w:val="28"/>
        </w:rPr>
        <w:t>（八）举办报纸期刊杂志情况</w:t>
      </w:r>
    </w:p>
    <w:tbl>
      <w:tblPr>
        <w:tblStyle w:val="3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870"/>
        <w:gridCol w:w="1500"/>
        <w:gridCol w:w="1500"/>
        <w:gridCol w:w="142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刊号      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主管单位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脱钩前</w:t>
            </w:r>
          </w:p>
        </w:tc>
        <w:tc>
          <w:tcPr>
            <w:tcW w:w="2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（九）脱钩后变更登记和备案手续办理情况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975"/>
        <w:gridCol w:w="540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脱钩后业务范围是否发生变化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脱钩后住所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是否有变化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脱钩后注册资金是否发生变化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脱钩后法定代表人是否发生变动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脱钩后章程是否修改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如选是，是否按法定程序办理章程核准手续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脱钩后负责人是否发生变动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如选是，是否按法定程序办理变更备案手续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□ 否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footnotePr>
        <w:numFmt w:val="decimal"/>
      </w:footnotePr>
      <w:pgSz w:w="11905" w:h="16838"/>
      <w:pgMar w:top="1757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527CA"/>
    <w:rsid w:val="140A6101"/>
    <w:rsid w:val="343D3CB9"/>
    <w:rsid w:val="49D90BB1"/>
    <w:rsid w:val="5B9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2020-07-20T06:48:00Z</dcterms:created>
  <dc:creator>孙海峰</dc:creator>
  <cp:lastModifiedBy>孙海峰</cp:lastModifiedBy>
  <dcterms:modified xsi:type="dcterms:W3CDTF">2020-07-20T06:48:53Z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